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580" w:lineRule="exac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附件6</w:t>
      </w:r>
      <w:r>
        <w:rPr>
          <w:rFonts w:ascii="黑体" w:hAnsi="黑体" w:eastAsia="黑体" w:cs="黑体"/>
          <w:bCs/>
          <w:sz w:val="32"/>
          <w:szCs w:val="32"/>
        </w:rPr>
        <w:t>-2</w:t>
      </w:r>
    </w:p>
    <w:p>
      <w:pPr>
        <w:pStyle w:val="3"/>
        <w:spacing w:line="580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hint="eastAsia" w:eastAsia="方正小标宋简体"/>
          <w:bCs/>
          <w:sz w:val="44"/>
          <w:szCs w:val="44"/>
        </w:rPr>
        <w:t>2022年度浙江省知识产权奖</w:t>
      </w:r>
    </w:p>
    <w:p>
      <w:pPr>
        <w:pStyle w:val="3"/>
        <w:spacing w:line="580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hint="eastAsia" w:eastAsia="方正小标宋简体"/>
          <w:bCs/>
          <w:sz w:val="44"/>
          <w:szCs w:val="44"/>
        </w:rPr>
        <w:t>提名公示表</w:t>
      </w:r>
    </w:p>
    <w:p>
      <w:pPr>
        <w:pStyle w:val="3"/>
        <w:spacing w:line="580" w:lineRule="exact"/>
        <w:jc w:val="center"/>
      </w:pPr>
      <w:r>
        <w:rPr>
          <w:rFonts w:hint="eastAsia" w:ascii="楷体_GB2312" w:hAnsi="楷体_GB2312" w:cs="楷体_GB2312"/>
          <w:color w:val="000000"/>
          <w:sz w:val="32"/>
          <w:szCs w:val="32"/>
        </w:rPr>
        <w:t>（供门类奖提名公示用）</w:t>
      </w:r>
    </w:p>
    <w:tbl>
      <w:tblPr>
        <w:tblStyle w:val="6"/>
        <w:tblW w:w="893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7"/>
        <w:gridCol w:w="2209"/>
        <w:gridCol w:w="2209"/>
        <w:gridCol w:w="22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提名者</w:t>
            </w:r>
          </w:p>
        </w:tc>
        <w:tc>
          <w:tcPr>
            <w:tcW w:w="6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台州市人民政府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被提名者</w:t>
            </w:r>
          </w:p>
        </w:tc>
        <w:tc>
          <w:tcPr>
            <w:tcW w:w="6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浙江海翔川南药业有限公司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被提名者代码</w:t>
            </w:r>
          </w:p>
        </w:tc>
        <w:tc>
          <w:tcPr>
            <w:tcW w:w="6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913310</w:t>
            </w:r>
            <w:r>
              <w:t>******</w:t>
            </w:r>
            <w:bookmarkStart w:id="0" w:name="_GoBack"/>
            <w:bookmarkEnd w:id="0"/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12315G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拟提名奖项类别</w:t>
            </w:r>
          </w:p>
        </w:tc>
        <w:tc>
          <w:tcPr>
            <w:tcW w:w="6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专利奖（发明专利）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拟提名奖项等级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三等奖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是否参加低于提名等级评审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项目名称</w:t>
            </w:r>
          </w:p>
        </w:tc>
        <w:tc>
          <w:tcPr>
            <w:tcW w:w="6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一种β-甲基碳青霉烯抗生素中间体的制备方法</w:t>
            </w:r>
            <w:r>
              <w:rPr>
                <w:rFonts w:hint="eastAsia" w:eastAsia="宋体" w:cs="Times New Roman"/>
                <w:kern w:val="2"/>
                <w:sz w:val="24"/>
                <w:szCs w:val="24"/>
                <w:lang w:val="en-US" w:eastAsia="zh-CN" w:bidi="ar-SA"/>
              </w:rPr>
              <w:t>（</w:t>
            </w: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ZL201010255356.1</w:t>
            </w:r>
            <w:r>
              <w:rPr>
                <w:rFonts w:hint="eastAsia" w:eastAsia="宋体" w:cs="Times New Roman"/>
                <w:kern w:val="2"/>
                <w:sz w:val="24"/>
                <w:szCs w:val="24"/>
                <w:lang w:val="en-US" w:eastAsia="zh-CN" w:bidi="ar-SA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项目证书编号</w:t>
            </w:r>
          </w:p>
        </w:tc>
        <w:tc>
          <w:tcPr>
            <w:tcW w:w="6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第1096587号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第一权利人</w:t>
            </w:r>
          </w:p>
        </w:tc>
        <w:tc>
          <w:tcPr>
            <w:tcW w:w="6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浙江海翔川南药业有限公司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其他权利人</w:t>
            </w:r>
          </w:p>
        </w:tc>
        <w:tc>
          <w:tcPr>
            <w:tcW w:w="6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1.浙江海翔药业股份有限公司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主要完成人</w:t>
            </w:r>
          </w:p>
        </w:tc>
        <w:tc>
          <w:tcPr>
            <w:tcW w:w="6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1.唐鹤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6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2.蒋君慧</w:t>
            </w:r>
          </w:p>
        </w:tc>
      </w:tr>
    </w:tbl>
    <w:p>
      <w:r>
        <w:br w:type="page"/>
      </w:r>
    </w:p>
    <w:p>
      <w:pPr>
        <w:pStyle w:val="2"/>
      </w:pPr>
    </w:p>
    <w:tbl>
      <w:tblPr>
        <w:tblStyle w:val="7"/>
        <w:tblW w:w="8956" w:type="dxa"/>
        <w:tblInd w:w="-19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8956" w:type="dxa"/>
            <w:vAlign w:val="center"/>
          </w:tcPr>
          <w:p>
            <w:pPr>
              <w:jc w:val="center"/>
              <w:rPr>
                <w:rFonts w:eastAsiaTheme="minorEastAsi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被提名知识产权项目情况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23" w:hRule="atLeast"/>
        </w:trPr>
        <w:tc>
          <w:tcPr>
            <w:tcW w:w="8956" w:type="dxa"/>
          </w:tcPr>
          <w:p>
            <w:pPr>
              <w:pStyle w:val="2"/>
              <w:numPr>
                <w:ilvl w:val="0"/>
                <w:numId w:val="0"/>
              </w:numPr>
              <w:ind w:firstLine="480" w:firstLineChars="200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numPr>
                <w:ilvl w:val="0"/>
                <w:numId w:val="0"/>
              </w:numPr>
              <w:ind w:firstLine="480" w:firstLineChars="2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该项目专利</w:t>
            </w:r>
            <w:r>
              <w:rPr>
                <w:rFonts w:hint="eastAsia"/>
                <w:sz w:val="24"/>
                <w:szCs w:val="24"/>
              </w:rPr>
              <w:t>质量好。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首先，该</w:t>
            </w:r>
            <w:r>
              <w:rPr>
                <w:rFonts w:hint="eastAsia"/>
                <w:sz w:val="24"/>
                <w:szCs w:val="24"/>
              </w:rPr>
              <w:t>专利稳定性好，经检索，其技术方案和技术效果确实没有被任何现有技术所公开，具有突出的实质性特点和显著进步，极具新颖性和创造性；并且，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其</w:t>
            </w:r>
            <w:r>
              <w:rPr>
                <w:rFonts w:hint="eastAsia"/>
                <w:sz w:val="24"/>
                <w:szCs w:val="24"/>
              </w:rPr>
              <w:t>实施之后，产量、利润</w:t>
            </w:r>
            <w:r>
              <w:rPr>
                <w:rFonts w:hint="eastAsia"/>
                <w:sz w:val="24"/>
                <w:szCs w:val="24"/>
                <w:lang w:eastAsia="zh-CN"/>
              </w:rPr>
              <w:t>、</w:t>
            </w:r>
            <w:r>
              <w:rPr>
                <w:rFonts w:hint="eastAsia"/>
                <w:sz w:val="24"/>
                <w:szCs w:val="24"/>
              </w:rPr>
              <w:t>出口额均非常可观，实用性显著</w:t>
            </w:r>
            <w:r>
              <w:rPr>
                <w:rFonts w:hint="eastAsia"/>
                <w:sz w:val="24"/>
                <w:szCs w:val="24"/>
                <w:lang w:eastAsia="zh-CN"/>
              </w:rPr>
              <w:t>。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其次，该</w:t>
            </w:r>
            <w:r>
              <w:rPr>
                <w:rFonts w:hint="eastAsia"/>
                <w:sz w:val="24"/>
                <w:szCs w:val="24"/>
              </w:rPr>
              <w:t>专利文本质量高，权利要求书清楚、简要，得到说明书的充分支持；说明书清楚、完整</w:t>
            </w:r>
            <w:r>
              <w:rPr>
                <w:rFonts w:hint="eastAsia"/>
                <w:sz w:val="24"/>
                <w:szCs w:val="24"/>
                <w:lang w:eastAsia="zh-CN"/>
              </w:rPr>
              <w:t>、</w:t>
            </w:r>
            <w:r>
              <w:rPr>
                <w:rFonts w:hint="eastAsia"/>
                <w:sz w:val="24"/>
                <w:szCs w:val="24"/>
              </w:rPr>
              <w:t>记载了所有必要的技术内容。</w:t>
            </w:r>
          </w:p>
          <w:p>
            <w:pPr>
              <w:pStyle w:val="2"/>
              <w:numPr>
                <w:ilvl w:val="0"/>
                <w:numId w:val="0"/>
              </w:num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该项目专利</w:t>
            </w:r>
            <w:r>
              <w:rPr>
                <w:rFonts w:hint="eastAsia"/>
                <w:sz w:val="24"/>
                <w:szCs w:val="24"/>
              </w:rPr>
              <w:t>创新性高。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首先，该</w:t>
            </w:r>
            <w:r>
              <w:rPr>
                <w:rFonts w:hint="eastAsia"/>
                <w:sz w:val="24"/>
                <w:szCs w:val="24"/>
              </w:rPr>
              <w:t>专利属于改进型专利，其产品纯度和收率高，解决了中间体MAP偶氮物（F9）合成工艺的关键性、共性的技术难题；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其次，该专利</w:t>
            </w:r>
            <w:r>
              <w:rPr>
                <w:rFonts w:hint="eastAsia"/>
                <w:sz w:val="24"/>
                <w:szCs w:val="24"/>
              </w:rPr>
              <w:t>技术通用性好且独创性好。</w:t>
            </w:r>
          </w:p>
          <w:p>
            <w:pPr>
              <w:pStyle w:val="2"/>
              <w:numPr>
                <w:ilvl w:val="0"/>
                <w:numId w:val="0"/>
              </w:numPr>
              <w:ind w:firstLine="480" w:firstLineChars="2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该项目专利</w:t>
            </w:r>
            <w:r>
              <w:rPr>
                <w:rFonts w:hint="eastAsia"/>
                <w:sz w:val="24"/>
                <w:szCs w:val="24"/>
              </w:rPr>
              <w:t>实施效益显著。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首先，该专利实施后</w:t>
            </w:r>
            <w:r>
              <w:rPr>
                <w:rFonts w:hint="eastAsia"/>
                <w:sz w:val="24"/>
                <w:szCs w:val="24"/>
              </w:rPr>
              <w:t>经济效益和社会效益显著，新增出口额近5亿元；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其次，</w:t>
            </w:r>
            <w:r>
              <w:rPr>
                <w:rFonts w:hint="eastAsia"/>
                <w:sz w:val="24"/>
                <w:szCs w:val="24"/>
              </w:rPr>
              <w:t>该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项目</w:t>
            </w:r>
            <w:r>
              <w:rPr>
                <w:rFonts w:hint="eastAsia"/>
                <w:sz w:val="24"/>
                <w:szCs w:val="24"/>
              </w:rPr>
              <w:t>专利研发投入高且持续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投入</w:t>
            </w:r>
            <w:r>
              <w:rPr>
                <w:rFonts w:hint="eastAsia"/>
                <w:sz w:val="24"/>
                <w:szCs w:val="24"/>
              </w:rPr>
              <w:t>，极大促进了下游培南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类</w:t>
            </w:r>
            <w:r>
              <w:rPr>
                <w:rFonts w:hint="eastAsia"/>
                <w:sz w:val="24"/>
                <w:szCs w:val="24"/>
              </w:rPr>
              <w:t>原料药的发展，使被提名者一跃成为全国最大的美罗培南（粗品）生产企业，单一产品占国内外产销量第一，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该专利</w:t>
            </w:r>
            <w:r>
              <w:rPr>
                <w:rFonts w:hint="eastAsia"/>
                <w:sz w:val="24"/>
                <w:szCs w:val="24"/>
              </w:rPr>
              <w:t>已获多项省级荣誉。</w:t>
            </w:r>
          </w:p>
          <w:p>
            <w:pPr>
              <w:pStyle w:val="2"/>
              <w:numPr>
                <w:ilvl w:val="0"/>
                <w:numId w:val="0"/>
              </w:numPr>
              <w:ind w:firstLine="480" w:firstLineChars="2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该项目</w:t>
            </w:r>
            <w:r>
              <w:rPr>
                <w:rFonts w:hint="eastAsia"/>
                <w:sz w:val="24"/>
                <w:szCs w:val="24"/>
              </w:rPr>
              <w:t>得到了充分运用和有效保护。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首先，该专利</w:t>
            </w:r>
            <w:r>
              <w:rPr>
                <w:rFonts w:hint="eastAsia"/>
                <w:sz w:val="24"/>
                <w:szCs w:val="24"/>
              </w:rPr>
              <w:t>依托上市公司资本优势开展建设实施，实施九年以来经济效益显著；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其次，</w:t>
            </w:r>
            <w:r>
              <w:rPr>
                <w:rFonts w:hint="eastAsia"/>
                <w:sz w:val="24"/>
                <w:szCs w:val="24"/>
              </w:rPr>
              <w:t xml:space="preserve">被提名者建立了全面的知识产权管理制度，通过了国家知识产权管理体系的认证，以该发明专利为核心，进行了专利布局。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roman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altName w:val="方正楷体_GBK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2ZjlmZGRlODZhNTVmMTE3YmUxMjljNWFlM2ZhYTkifQ=="/>
  </w:docVars>
  <w:rsids>
    <w:rsidRoot w:val="0056071D"/>
    <w:rsid w:val="00223661"/>
    <w:rsid w:val="0056071D"/>
    <w:rsid w:val="29120F99"/>
    <w:rsid w:val="29B268F2"/>
    <w:rsid w:val="325977DA"/>
    <w:rsid w:val="32F6EF11"/>
    <w:rsid w:val="336C7797"/>
    <w:rsid w:val="3FC91E6E"/>
    <w:rsid w:val="424501F7"/>
    <w:rsid w:val="44E74480"/>
    <w:rsid w:val="46F250FF"/>
    <w:rsid w:val="47280774"/>
    <w:rsid w:val="4B4F286F"/>
    <w:rsid w:val="523F51F1"/>
    <w:rsid w:val="53124658"/>
    <w:rsid w:val="58304F89"/>
    <w:rsid w:val="5F6F775E"/>
    <w:rsid w:val="66637170"/>
    <w:rsid w:val="68BE078C"/>
    <w:rsid w:val="6DAC2F73"/>
    <w:rsid w:val="736A6A49"/>
    <w:rsid w:val="75BF410E"/>
    <w:rsid w:val="769B3CFA"/>
    <w:rsid w:val="7DA50417"/>
    <w:rsid w:val="BF331306"/>
    <w:rsid w:val="F5FAB45A"/>
    <w:rsid w:val="F7FBF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spacing w:line="500" w:lineRule="exact"/>
      <w:ind w:firstLine="420"/>
    </w:pPr>
    <w:rPr>
      <w:rFonts w:eastAsia="宋体"/>
      <w:sz w:val="32"/>
      <w:szCs w:val="20"/>
    </w:rPr>
  </w:style>
  <w:style w:type="paragraph" w:styleId="3">
    <w:name w:val="Body Text"/>
    <w:basedOn w:val="1"/>
    <w:next w:val="4"/>
    <w:qFormat/>
    <w:uiPriority w:val="0"/>
    <w:rPr>
      <w:rFonts w:eastAsia="楷体_GB2312"/>
    </w:rPr>
  </w:style>
  <w:style w:type="paragraph" w:styleId="4">
    <w:name w:val="Title"/>
    <w:basedOn w:val="1"/>
    <w:next w:val="1"/>
    <w:qFormat/>
    <w:uiPriority w:val="0"/>
    <w:pPr>
      <w:spacing w:line="560" w:lineRule="exact"/>
      <w:ind w:firstLine="720" w:firstLineChars="200"/>
      <w:jc w:val="center"/>
      <w:outlineLvl w:val="0"/>
    </w:pPr>
    <w:rPr>
      <w:rFonts w:ascii="方正小标宋_GBK" w:hAnsi="方正小标宋_GBK" w:eastAsia="方正小标宋_GBK" w:cs="方正小标宋_GBK"/>
      <w:sz w:val="44"/>
      <w:szCs w:val="44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</Words>
  <Characters>230</Characters>
  <Lines>1</Lines>
  <Paragraphs>1</Paragraphs>
  <TotalTime>1</TotalTime>
  <ScaleCrop>false</ScaleCrop>
  <LinksUpToDate>false</LinksUpToDate>
  <CharactersWithSpaces>269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2022-11-03T02:01:00Z</dcterms:created>
  <dc:creator>1</dc:creator>
  <cp:lastModifiedBy>user</cp:lastModifiedBy>
  <dcterms:modified xsi:type="dcterms:W3CDTF">2023-01-03T10:58:01Z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995153954DBD44789100E74B3B384CA4</vt:lpwstr>
  </property>
</Properties>
</file>