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80" w:lineRule="exact"/>
        <w:rPr>
          <w:rFonts w:ascii="黑体" w:hAnsi="黑体" w:eastAsia="黑体" w:cs="黑体"/>
          <w:bCs/>
          <w:sz w:val="32"/>
          <w:szCs w:val="32"/>
        </w:rPr>
      </w:pPr>
      <w:r>
        <w:rPr>
          <w:rFonts w:hint="eastAsia" w:ascii="黑体" w:hAnsi="黑体" w:eastAsia="黑体" w:cs="黑体"/>
          <w:bCs/>
          <w:sz w:val="32"/>
          <w:szCs w:val="32"/>
        </w:rPr>
        <w:t>附件6</w:t>
      </w:r>
      <w:r>
        <w:rPr>
          <w:rFonts w:ascii="黑体" w:hAnsi="黑体" w:eastAsia="黑体" w:cs="黑体"/>
          <w:bCs/>
          <w:sz w:val="32"/>
          <w:szCs w:val="32"/>
        </w:rPr>
        <w:t>-2</w:t>
      </w:r>
    </w:p>
    <w:p>
      <w:pPr>
        <w:pStyle w:val="3"/>
        <w:spacing w:line="580" w:lineRule="exact"/>
        <w:jc w:val="center"/>
        <w:rPr>
          <w:rFonts w:eastAsia="方正小标宋简体"/>
          <w:bCs/>
          <w:sz w:val="44"/>
          <w:szCs w:val="44"/>
        </w:rPr>
      </w:pPr>
      <w:r>
        <w:rPr>
          <w:rFonts w:hint="eastAsia" w:eastAsia="方正小标宋简体"/>
          <w:bCs/>
          <w:sz w:val="44"/>
          <w:szCs w:val="44"/>
        </w:rPr>
        <w:t>2022年度浙江省知识产权奖</w:t>
      </w:r>
    </w:p>
    <w:p>
      <w:pPr>
        <w:pStyle w:val="3"/>
        <w:spacing w:line="580" w:lineRule="exact"/>
        <w:jc w:val="center"/>
        <w:rPr>
          <w:rFonts w:eastAsia="方正小标宋简体"/>
          <w:bCs/>
          <w:sz w:val="44"/>
          <w:szCs w:val="44"/>
        </w:rPr>
      </w:pPr>
      <w:r>
        <w:rPr>
          <w:rFonts w:hint="eastAsia" w:eastAsia="方正小标宋简体"/>
          <w:bCs/>
          <w:sz w:val="44"/>
          <w:szCs w:val="44"/>
        </w:rPr>
        <w:t>提名公示表</w:t>
      </w:r>
    </w:p>
    <w:p>
      <w:pPr>
        <w:pStyle w:val="3"/>
        <w:spacing w:line="580" w:lineRule="exact"/>
        <w:jc w:val="center"/>
      </w:pPr>
      <w:r>
        <w:rPr>
          <w:rFonts w:hint="eastAsia" w:ascii="楷体_GB2312" w:hAnsi="楷体_GB2312" w:cs="楷体_GB2312"/>
          <w:color w:val="000000"/>
          <w:sz w:val="32"/>
          <w:szCs w:val="32"/>
        </w:rPr>
        <w:t>（供门类奖提名公示用）</w:t>
      </w:r>
    </w:p>
    <w:tbl>
      <w:tblPr>
        <w:tblStyle w:val="8"/>
        <w:tblW w:w="8935" w:type="dxa"/>
        <w:jc w:val="center"/>
        <w:tblLayout w:type="fixed"/>
        <w:tblCellMar>
          <w:top w:w="0" w:type="dxa"/>
          <w:left w:w="108" w:type="dxa"/>
          <w:bottom w:w="0" w:type="dxa"/>
          <w:right w:w="108" w:type="dxa"/>
        </w:tblCellMar>
      </w:tblPr>
      <w:tblGrid>
        <w:gridCol w:w="2307"/>
        <w:gridCol w:w="2209"/>
        <w:gridCol w:w="2209"/>
        <w:gridCol w:w="2210"/>
      </w:tblGrid>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台州市人民政府</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浙江海正生物材料股份有限公司</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
              <w:keepNext w:val="0"/>
              <w:keepLines w:val="0"/>
              <w:widowControl/>
              <w:suppressLineNumbers w:val="0"/>
              <w:spacing w:before="0" w:beforeAutospacing="0" w:after="0" w:afterAutospacing="0"/>
              <w:ind w:left="0" w:right="0" w:firstLine="0"/>
              <w:rPr>
                <w:rFonts w:hint="eastAsia" w:ascii="仿宋_GB2312" w:hAnsi="仿宋_GB2312" w:eastAsia="仿宋_GB2312" w:cs="仿宋_GB2312"/>
                <w:sz w:val="24"/>
              </w:rPr>
            </w:pPr>
            <w:r>
              <w:rPr>
                <w:rFonts w:hint="eastAsia" w:ascii="仿宋_GB2312" w:hAnsi="仿宋_GB2312" w:eastAsia="仿宋_GB2312" w:cs="仿宋_GB2312"/>
                <w:sz w:val="24"/>
              </w:rPr>
              <w:t>913300</w:t>
            </w:r>
            <w:r>
              <w:t>******</w:t>
            </w:r>
            <w:bookmarkStart w:id="0" w:name="_GoBack"/>
            <w:bookmarkEnd w:id="0"/>
            <w:r>
              <w:rPr>
                <w:rFonts w:hint="eastAsia" w:ascii="仿宋_GB2312" w:hAnsi="仿宋_GB2312" w:eastAsia="仿宋_GB2312" w:cs="仿宋_GB2312"/>
                <w:sz w:val="24"/>
              </w:rPr>
              <w:t>077600</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专利奖（发明专利）</w:t>
            </w:r>
          </w:p>
        </w:tc>
      </w:tr>
      <w:tr>
        <w:tblPrEx>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4"/>
              </w:rPr>
              <w:t>一等奖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4"/>
              </w:rPr>
              <w:t>是</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sz w:val="24"/>
                <w:lang w:eastAsia="zh-CN"/>
              </w:rPr>
            </w:pPr>
            <w:r>
              <w:rPr>
                <w:rFonts w:hint="eastAsia" w:ascii="仿宋_GB2312" w:hAnsi="仿宋_GB2312" w:eastAsia="仿宋_GB2312" w:cs="仿宋_GB2312"/>
                <w:sz w:val="24"/>
              </w:rPr>
              <w:t>丙交酯开环聚合催化剂及制备方法</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ZL200610016680.1</w:t>
            </w:r>
            <w:r>
              <w:rPr>
                <w:rFonts w:hint="eastAsia" w:ascii="仿宋_GB2312" w:hAnsi="仿宋_GB2312" w:eastAsia="仿宋_GB2312" w:cs="仿宋_GB2312"/>
                <w:sz w:val="24"/>
                <w:lang w:eastAsia="zh-CN"/>
              </w:rPr>
              <w:t>）</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第</w:t>
            </w:r>
            <w:r>
              <w:rPr>
                <w:rFonts w:hint="default" w:ascii="仿宋_GB2312" w:hAnsi="仿宋_GB2312" w:eastAsia="仿宋_GB2312" w:cs="仿宋_GB2312"/>
                <w:sz w:val="24"/>
                <w:lang w:val="en" w:eastAsia="zh-CN"/>
              </w:rPr>
              <w:t>416386</w:t>
            </w:r>
            <w:r>
              <w:rPr>
                <w:rFonts w:hint="eastAsia" w:ascii="仿宋_GB2312" w:hAnsi="仿宋_GB2312" w:eastAsia="仿宋_GB2312" w:cs="仿宋_GB2312"/>
                <w:sz w:val="24"/>
                <w:lang w:eastAsia="zh-CN"/>
              </w:rPr>
              <w:t>号</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浙江海正生物材料股份有限公司</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p>
        </w:tc>
      </w:tr>
    </w:tbl>
    <w:p>
      <w:r>
        <w:br w:type="page"/>
      </w:r>
    </w:p>
    <w:p>
      <w:pPr>
        <w:pStyle w:val="2"/>
      </w:pPr>
    </w:p>
    <w:tbl>
      <w:tblPr>
        <w:tblStyle w:val="9"/>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eastAsiaTheme="minorEastAsia"/>
              </w:rPr>
            </w:pPr>
            <w:r>
              <w:rPr>
                <w:rFonts w:hint="eastAsia" w:ascii="仿宋_GB2312" w:hAnsi="仿宋_GB2312" w:eastAsia="仿宋_GB2312" w:cs="仿宋_GB2312"/>
                <w:color w:val="000000"/>
                <w:sz w:val="28"/>
                <w:szCs w:val="28"/>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p>
            <w:pPr>
              <w:rPr>
                <w:rFonts w:hint="eastAsia" w:ascii="仿宋_GB2312" w:hAnsi="仿宋_GB2312" w:eastAsia="仿宋_GB2312" w:cs="仿宋_GB2312"/>
                <w:sz w:val="24"/>
              </w:rPr>
            </w:pPr>
          </w:p>
          <w:p>
            <w:pPr>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聚乳酸本身具有耐热性差、韧性差等缺点，在应用上对聚乳酸的光学纯度、聚合度等材料品质指标提出了更高的要求。本发明专利是公司针对高光学纯度和高聚合度聚乳酸材料聚合生产需求，与中科院长春应化所联合研发设计的具有立体选择性的高效催化剂体系。首次采用在席夫碱配体结构苯环的邻位、对位上引入-Cl，以及在烷基铝上引入烷氧基等吸电子基团，构筑了具有高反应活性和立体选择性的丙交酯开环聚合催化剂。</w:t>
            </w:r>
          </w:p>
          <w:p>
            <w:pPr>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本项目通过在席夫碱烷基铝催化剂结构设计与试剂合成方面创新研究，不仅可实现聚合过程节能减排，且形成生物降解高光学纯度、高聚合度PLA材料的规模化生产、应用，降低了我国对石油资源的依赖，顺应了我国“双碳”战略目标。</w:t>
            </w:r>
          </w:p>
          <w:p>
            <w:pPr>
              <w:rPr>
                <w:rFonts w:hint="eastAsia" w:ascii="仿宋_GB2312" w:hAnsi="仿宋_GB2312" w:eastAsia="仿宋_GB2312" w:cs="仿宋_GB2312"/>
                <w:sz w:val="24"/>
              </w:rPr>
            </w:pPr>
            <w:r>
              <w:rPr>
                <w:rFonts w:hint="eastAsia" w:ascii="仿宋_GB2312" w:hAnsi="仿宋_GB2312" w:eastAsia="仿宋_GB2312" w:cs="仿宋_GB2312"/>
                <w:sz w:val="24"/>
              </w:rPr>
              <w:t>围绕本专利的实施和成果转化，公司于2011-2015年承担了国家“863计划”课题，2022年公司于科创板上市。公司在聚乳酸生产技术、产能上的提升改善了国内塑料行业结构，带动了台州市塑料产业向绿色化、高端化方向发展，并保护了地球的生态环境。</w:t>
            </w:r>
          </w:p>
          <w:p>
            <w:pPr>
              <w:ind w:firstLine="480" w:firstLineChars="200"/>
            </w:pPr>
            <w:r>
              <w:rPr>
                <w:rFonts w:hint="eastAsia" w:ascii="仿宋_GB2312" w:hAnsi="仿宋_GB2312" w:eastAsia="仿宋_GB2312" w:cs="仿宋_GB2312"/>
                <w:sz w:val="24"/>
              </w:rPr>
              <w:t>本发明专利技术具有显著的经济效益。自本专利实施以来，已有四种牌号聚乳酸产品合计生产35875吨，新增销售额73912万元，实现新增利润10924万元和新增出口额33248万元，经济效益显著。</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0000000000000000000"/>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BkNWY5ZGQ5MDAzNGYwZDY0MmQyOTFiODJkM2Y2ZGQifQ=="/>
  </w:docVars>
  <w:rsids>
    <w:rsidRoot w:val="00164C13"/>
    <w:rsid w:val="00164C13"/>
    <w:rsid w:val="004948D4"/>
    <w:rsid w:val="00875F26"/>
    <w:rsid w:val="29B268F2"/>
    <w:rsid w:val="29C557D1"/>
    <w:rsid w:val="325977DA"/>
    <w:rsid w:val="32F6EF11"/>
    <w:rsid w:val="336C7797"/>
    <w:rsid w:val="37BF0567"/>
    <w:rsid w:val="3FC91E6E"/>
    <w:rsid w:val="3FE54109"/>
    <w:rsid w:val="432506C5"/>
    <w:rsid w:val="46F250FF"/>
    <w:rsid w:val="47280774"/>
    <w:rsid w:val="4B4F286F"/>
    <w:rsid w:val="4FFD6CCC"/>
    <w:rsid w:val="523F51F1"/>
    <w:rsid w:val="53124658"/>
    <w:rsid w:val="58304F89"/>
    <w:rsid w:val="5F6F775E"/>
    <w:rsid w:val="66637170"/>
    <w:rsid w:val="686B897B"/>
    <w:rsid w:val="68BE078C"/>
    <w:rsid w:val="769B3CFA"/>
    <w:rsid w:val="7DA50417"/>
    <w:rsid w:val="D6F54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500" w:lineRule="exact"/>
      <w:ind w:firstLine="420"/>
    </w:pPr>
    <w:rPr>
      <w:rFonts w:eastAsia="宋体"/>
      <w:sz w:val="32"/>
      <w:szCs w:val="20"/>
    </w:rPr>
  </w:style>
  <w:style w:type="paragraph" w:styleId="3">
    <w:name w:val="Body Text"/>
    <w:basedOn w:val="1"/>
    <w:next w:val="4"/>
    <w:qFormat/>
    <w:uiPriority w:val="0"/>
    <w:rPr>
      <w:rFonts w:eastAsia="楷体_GB2312"/>
    </w:rPr>
  </w:style>
  <w:style w:type="paragraph" w:styleId="4">
    <w:name w:val="Title"/>
    <w:basedOn w:val="1"/>
    <w:next w:val="1"/>
    <w:qFormat/>
    <w:uiPriority w:val="0"/>
    <w:pPr>
      <w:spacing w:line="560" w:lineRule="exact"/>
      <w:ind w:firstLine="720" w:firstLineChars="200"/>
      <w:jc w:val="center"/>
      <w:outlineLvl w:val="0"/>
    </w:pPr>
    <w:rPr>
      <w:rFonts w:ascii="方正小标宋_GBK" w:hAnsi="方正小标宋_GBK" w:eastAsia="方正小标宋_GBK" w:cs="方正小标宋_GBK"/>
      <w:sz w:val="44"/>
      <w:szCs w:val="44"/>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6"/>
    <w:qFormat/>
    <w:uiPriority w:val="0"/>
    <w:rPr>
      <w:rFonts w:ascii="Times New Roman" w:hAnsi="Times New Roman" w:eastAsia="宋体" w:cs="Times New Roman"/>
      <w:kern w:val="2"/>
      <w:sz w:val="18"/>
      <w:szCs w:val="18"/>
    </w:rPr>
  </w:style>
  <w:style w:type="character" w:customStyle="1" w:styleId="12">
    <w:name w:val="页脚 字符"/>
    <w:basedOn w:val="10"/>
    <w:link w:val="5"/>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115</Words>
  <Characters>662</Characters>
  <Lines>5</Lines>
  <Paragraphs>1</Paragraphs>
  <TotalTime>3</TotalTime>
  <ScaleCrop>false</ScaleCrop>
  <LinksUpToDate>false</LinksUpToDate>
  <CharactersWithSpaces>776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2022-12-22T02:31:00Z</dcterms:created>
  <dc:creator>1</dc:creator>
  <cp:lastModifiedBy>user</cp:lastModifiedBy>
  <dcterms:modified xsi:type="dcterms:W3CDTF">2023-01-03T10:45:13Z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CB3C5C04FFD24A2799B0F1BAA0A8A2B7</vt:lpwstr>
  </property>
</Properties>
</file>