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2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9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浙江得乐康食品股份有限公司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eastAsia="zh-CN"/>
              </w:rPr>
              <w:t>913310</w:t>
            </w:r>
            <w:r>
              <w:t>******</w:t>
            </w:r>
            <w:bookmarkStart w:id="1" w:name="_GoBack"/>
            <w:bookmarkEnd w:id="1"/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eastAsia="zh-CN"/>
              </w:rPr>
              <w:t>45491U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得乐康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12139046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浙江得乐康食品股份有限公司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br w:type="page"/>
      </w:r>
    </w:p>
    <w:p>
      <w:pPr>
        <w:pStyle w:val="8"/>
      </w:pPr>
    </w:p>
    <w:tbl>
      <w:tblPr>
        <w:tblStyle w:val="10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adjustRightInd w:val="0"/>
              <w:spacing w:line="560" w:lineRule="exact"/>
              <w:rPr>
                <w:rFonts w:hint="eastAsia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firstLine="456" w:firstLineChars="200"/>
              <w:textAlignment w:val="auto"/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  <w:t>浙江得乐康食品股份有限公司（以下简称公司）是依托植物分离、提取、油脂精炼等技术，重点围绕米糠、银杏叶开展综合利用的农业产业化国家重点龙头企业，主营业务是米糠油及其综合利用品、植物提取物及其综合利用品的研发、生产和销售。截至202</w:t>
            </w:r>
            <w:r>
              <w:rPr>
                <w:rFonts w:hint="eastAsia" w:eastAsia="仿宋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  <w:t>年末，公司注册资本</w:t>
            </w:r>
            <w:r>
              <w:rPr>
                <w:rFonts w:hint="eastAsia" w:eastAsia="仿宋"/>
                <w:spacing w:val="-6"/>
                <w:sz w:val="24"/>
                <w:szCs w:val="24"/>
                <w:lang w:val="en-US" w:eastAsia="zh-CN"/>
              </w:rPr>
              <w:t>8.27亿</w:t>
            </w:r>
            <w:r>
              <w:rPr>
                <w:rFonts w:ascii="Times New Roman" w:hAnsi="Times New Roman" w:eastAsia="仿宋"/>
                <w:spacing w:val="-6"/>
                <w:sz w:val="24"/>
                <w:szCs w:val="24"/>
              </w:rPr>
              <w:t>元</w:t>
            </w:r>
            <w:r>
              <w:rPr>
                <w:rFonts w:hint="eastAsia" w:eastAsia="仿宋"/>
                <w:spacing w:val="-6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  <w:t>除浙江本部外，公司还拥有江苏得乐康生物科技有限公司</w:t>
            </w:r>
            <w:r>
              <w:rPr>
                <w:rFonts w:hint="eastAsia" w:eastAsia="仿宋"/>
                <w:spacing w:val="-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  <w:t>浙江得乐康食品销售有限公司</w:t>
            </w:r>
            <w:r>
              <w:rPr>
                <w:rFonts w:hint="eastAsia" w:eastAsia="仿宋"/>
                <w:spacing w:val="-6"/>
                <w:sz w:val="24"/>
                <w:szCs w:val="24"/>
                <w:lang w:eastAsia="zh-CN"/>
              </w:rPr>
              <w:t>和台州得乐康食品销售有限公司三</w:t>
            </w:r>
            <w:r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  <w:t>家全资子公司。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firstLine="464" w:firstLineChars="200"/>
              <w:textAlignment w:val="auto"/>
              <w:rPr>
                <w:rFonts w:hint="eastAsia" w:ascii="Times New Roman" w:hAnsi="Times New Roman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</w:rPr>
              <w:t>公司建有较完善的研发、生产与销售体系；产品特色明显，结构合理。企业以米糠油综合利用为重心，向植物提取扩展。主要产品有：米糠油、谷维素、糠甾醇、阿魏酸、茶多酚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  <w:lang w:val="en-US" w:eastAsia="zh-CN"/>
              </w:rPr>
              <w:t>EGCG、茶氨酸、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植物甾醇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</w:rPr>
              <w:t>等。企业已通过ISO9001/ISO14001管理体系认证，油脂产品通过SC认证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和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  <w:lang w:val="en-US" w:eastAsia="zh-CN"/>
              </w:rPr>
              <w:t>HACCP认证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</w:rPr>
              <w:t>，谷维素、糠甾醇原料药通过GMP认证。“得乐康”米糠油已在浙江市场树立了良好的品牌形象</w:t>
            </w:r>
            <w:r>
              <w:rPr>
                <w:rFonts w:hint="eastAsia" w:ascii="仿宋" w:hAnsi="仿宋"/>
                <w:color w:val="auto"/>
                <w:spacing w:val="-4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/>
                <w:color w:val="auto"/>
                <w:spacing w:val="-4"/>
                <w:sz w:val="24"/>
                <w:szCs w:val="24"/>
                <w:highlight w:val="none"/>
              </w:rPr>
              <w:t>多个产品畅销国际市场。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56" w:firstLineChars="200"/>
              <w:textAlignment w:val="auto"/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bookmarkStart w:id="0" w:name="_Hlk536363254"/>
            <w:r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公司经过多年的技术积累、品牌建设，凭借成本控制、产品质量等方面的优势，</w:t>
            </w:r>
            <w:bookmarkEnd w:id="0"/>
            <w:r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在行业取得了一定的竞争优势。公司2020年获评农业农村部、中国证监会等8部门联合审定的“农业产业化国家重点龙头企业”，2017年至2019年连续三年入选中国粮食行业协会、中国粮油学会、中国粮食经济学会发布的“稻米油加工企业10强”，2019年入选台州市第三批“瞪羚企业”，2020年入选台州市首批专精特新“小巨人”企业</w:t>
            </w:r>
            <w:r>
              <w:rPr>
                <w:rFonts w:hint="eastAsia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，2021年被评为“浙江好粮油”</w:t>
            </w:r>
            <w:r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DNlNzIyZmU5M2I0MTIwZDUwZDY1OTEyNDRjZDMifQ=="/>
  </w:docVars>
  <w:rsids>
    <w:rsidRoot w:val="00636DBA"/>
    <w:rsid w:val="000606EB"/>
    <w:rsid w:val="003D349C"/>
    <w:rsid w:val="006120BD"/>
    <w:rsid w:val="00636DBA"/>
    <w:rsid w:val="006F792B"/>
    <w:rsid w:val="00C32DA2"/>
    <w:rsid w:val="23E93B50"/>
    <w:rsid w:val="27FC7F14"/>
    <w:rsid w:val="29B268F2"/>
    <w:rsid w:val="2BAC6A1C"/>
    <w:rsid w:val="325977DA"/>
    <w:rsid w:val="32F6EF11"/>
    <w:rsid w:val="336C7797"/>
    <w:rsid w:val="3FC91E6E"/>
    <w:rsid w:val="4146517B"/>
    <w:rsid w:val="445C6678"/>
    <w:rsid w:val="44617523"/>
    <w:rsid w:val="46F250FF"/>
    <w:rsid w:val="47280774"/>
    <w:rsid w:val="4B4F286F"/>
    <w:rsid w:val="4DC106A7"/>
    <w:rsid w:val="523F51F1"/>
    <w:rsid w:val="53124658"/>
    <w:rsid w:val="58304F89"/>
    <w:rsid w:val="593C5CA8"/>
    <w:rsid w:val="5F6F775E"/>
    <w:rsid w:val="66637170"/>
    <w:rsid w:val="68BE078C"/>
    <w:rsid w:val="69C96C90"/>
    <w:rsid w:val="769B3CFA"/>
    <w:rsid w:val="7DA50417"/>
    <w:rsid w:val="7DBDC9F7"/>
    <w:rsid w:val="BFC3AD07"/>
    <w:rsid w:val="FBD5E9D9"/>
    <w:rsid w:val="FFFB0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713</Words>
  <Characters>792</Characters>
  <Lines>1</Lines>
  <Paragraphs>1</Paragraphs>
  <TotalTime>7</TotalTime>
  <ScaleCrop>false</ScaleCrop>
  <LinksUpToDate>false</LinksUpToDate>
  <CharactersWithSpaces>798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2023-01-03T11:00:27Z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3EA1B19004C8454E9CC5EA23959A2C18</vt:lpwstr>
  </property>
</Properties>
</file>