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10"/>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浙江大学台州研究院</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widowControl/>
              <w:suppressLineNumbers w:val="0"/>
              <w:spacing w:before="0" w:beforeAutospacing="0" w:after="0" w:afterAutospacing="0"/>
              <w:ind w:left="0" w:right="0" w:firstLine="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123310</w:t>
            </w:r>
            <w:r>
              <w:t>******</w:t>
            </w:r>
            <w:bookmarkStart w:id="0" w:name="_GoBack"/>
            <w:bookmarkEnd w:id="0"/>
            <w:r>
              <w:rPr>
                <w:rFonts w:hint="eastAsia" w:ascii="仿宋_GB2312" w:hAnsi="仿宋_GB2312" w:eastAsia="仿宋_GB2312" w:cs="仿宋_GB2312"/>
                <w:color w:val="000000" w:themeColor="text1"/>
                <w:sz w:val="24"/>
                <w14:textFill>
                  <w14:solidFill>
                    <w14:schemeClr w14:val="tx1"/>
                  </w14:solidFill>
                </w14:textFill>
              </w:rPr>
              <w:t>75778A</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基于晶片区分的石英晶片谐振频率及散差统计方法</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ZL</w:t>
            </w:r>
            <w:r>
              <w:rPr>
                <w:rFonts w:ascii="仿宋_GB2312" w:hAnsi="仿宋_GB2312" w:eastAsia="仿宋_GB2312" w:cs="仿宋_GB2312"/>
                <w:color w:val="000000" w:themeColor="text1"/>
                <w:sz w:val="24"/>
                <w14:textFill>
                  <w14:solidFill>
                    <w14:schemeClr w14:val="tx1"/>
                  </w14:solidFill>
                </w14:textFill>
              </w:rPr>
              <w:t>201910240598.4</w:t>
            </w:r>
            <w:r>
              <w:rPr>
                <w:rFonts w:hint="eastAsia" w:ascii="仿宋_GB2312" w:hAnsi="仿宋_GB2312" w:eastAsia="仿宋_GB2312" w:cs="仿宋_GB2312"/>
                <w:color w:val="000000" w:themeColor="text1"/>
                <w:sz w:val="24"/>
                <w:lang w:eastAsia="zh-CN"/>
                <w14:textFill>
                  <w14:solidFill>
                    <w14:schemeClr w14:val="tx1"/>
                  </w14:solidFill>
                </w14:textFill>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lang w:val="en" w:eastAsia="zh-CN"/>
                <w14:textFill>
                  <w14:solidFill>
                    <w14:schemeClr w14:val="tx1"/>
                  </w14:solidFill>
                </w14:textFill>
              </w:rPr>
            </w:pPr>
            <w:r>
              <w:rPr>
                <w:rFonts w:hint="eastAsia" w:ascii="仿宋_GB2312" w:hAnsi="仿宋_GB2312" w:eastAsia="仿宋_GB2312" w:cs="仿宋_GB2312"/>
                <w:color w:val="000000" w:themeColor="text1"/>
                <w:sz w:val="24"/>
                <w:lang w:val="en" w:eastAsia="zh-CN"/>
                <w14:textFill>
                  <w14:solidFill>
                    <w14:schemeClr w14:val="tx1"/>
                  </w14:solidFill>
                </w14:textFill>
              </w:rPr>
              <w:t>第</w:t>
            </w:r>
            <w:r>
              <w:rPr>
                <w:rFonts w:hint="default" w:ascii="仿宋_GB2312" w:hAnsi="仿宋_GB2312" w:eastAsia="仿宋_GB2312" w:cs="仿宋_GB2312"/>
                <w:color w:val="000000" w:themeColor="text1"/>
                <w:sz w:val="24"/>
                <w:lang w:val="en"/>
                <w14:textFill>
                  <w14:solidFill>
                    <w14:schemeClr w14:val="tx1"/>
                  </w14:solidFill>
                </w14:textFill>
              </w:rPr>
              <w:t>3706291</w:t>
            </w:r>
            <w:r>
              <w:rPr>
                <w:rFonts w:hint="eastAsia" w:ascii="仿宋_GB2312" w:hAnsi="仿宋_GB2312" w:eastAsia="仿宋_GB2312" w:cs="仿宋_GB2312"/>
                <w:color w:val="000000" w:themeColor="text1"/>
                <w:sz w:val="24"/>
                <w:lang w:val="en" w:eastAsia="zh-CN"/>
                <w14:textFill>
                  <w14:solidFill>
                    <w14:schemeClr w14:val="tx1"/>
                  </w14:solidFill>
                </w14:textFill>
              </w:rPr>
              <w:t>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浙江大学台州研究院</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1.潘凌锋</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2.郭彬、陈一信、陈浙泊、白振兴</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bl>
    <w:p>
      <w:r>
        <w:br w:type="page"/>
      </w:r>
    </w:p>
    <w:p>
      <w:pPr>
        <w:pStyle w:val="9"/>
      </w:pPr>
    </w:p>
    <w:tbl>
      <w:tblPr>
        <w:tblStyle w:val="11"/>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spacing w:line="360" w:lineRule="auto"/>
              <w:ind w:firstLine="480" w:firstLineChars="200"/>
              <w:jc w:val="left"/>
              <w:rPr>
                <w:rFonts w:hint="eastAsia" w:ascii="仿宋_GB2312" w:hAnsi="仿宋_GB2312" w:eastAsia="仿宋_GB2312" w:cs="仿宋_GB2312"/>
                <w:color w:val="000000"/>
                <w:sz w:val="24"/>
              </w:rPr>
            </w:pPr>
          </w:p>
          <w:p>
            <w:pPr>
              <w:spacing w:line="360" w:lineRule="auto"/>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本项目以石英晶片的平面研磨加工作为切入点，以石英晶片频率在线测量的关键核心技术作为突破口，通过在平面研磨过程中对晶片谐振频率的测量，突破材料亚微米级超高精度在线测量的技术难题。</w:t>
            </w:r>
          </w:p>
          <w:p>
            <w:pPr>
              <w:spacing w:line="360" w:lineRule="auto"/>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本项目成果在功能和性能指标上全面超越目前市场上的同类产品， “一道完磨，停机即收”和“智能测控系统”等创新点将对目前石英晶片生产流程和品质带来质的飞跃，全面占领相关市场并掌握定价权。</w:t>
            </w:r>
          </w:p>
          <w:p>
            <w:pPr>
              <w:spacing w:line="360" w:lineRule="auto"/>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自项目实施以来，已服务10余家石英晶片生产厂家，包括全球领先的晶振制造商如台湾晶技股份有限公司、爱普生精密电子有限公司、日本大真空株式会社等，累计销售近300台，销售额超过1000万元，大大提高研磨产线晶片品质和生产效率，取得了良好的经济效益和社会效益，得到用户的一致好评。</w:t>
            </w:r>
          </w:p>
          <w:p>
            <w:pPr>
              <w:spacing w:line="360" w:lineRule="auto"/>
              <w:ind w:firstLine="480" w:firstLineChars="200"/>
              <w:jc w:val="left"/>
            </w:pPr>
            <w:r>
              <w:rPr>
                <w:rFonts w:hint="eastAsia" w:ascii="仿宋_GB2312" w:hAnsi="仿宋_GB2312" w:eastAsia="仿宋_GB2312" w:cs="仿宋_GB2312"/>
                <w:color w:val="000000"/>
                <w:sz w:val="24"/>
              </w:rPr>
              <w:t>以本项目为核心，针对本项目产品累计授权发明专利25件，授权实用新型专利3件。以本项目技术为基础进一步研发的石英晶片抛光片和双转角石英晶片在线测频项目在有序开展并取得重大突破，将对石英晶片研磨产业的发展起到革命性作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WY1MjFjNmM3YTcwMmUxNjU3MzliZWIyNzI4NzAifQ=="/>
  </w:docVars>
  <w:rsids>
    <w:rsidRoot w:val="00162E6B"/>
    <w:rsid w:val="00162E6B"/>
    <w:rsid w:val="00E47BE2"/>
    <w:rsid w:val="00F300F1"/>
    <w:rsid w:val="10F71C87"/>
    <w:rsid w:val="119D41EA"/>
    <w:rsid w:val="157F0D68"/>
    <w:rsid w:val="29B268F2"/>
    <w:rsid w:val="325977DA"/>
    <w:rsid w:val="32F6EF11"/>
    <w:rsid w:val="336C7797"/>
    <w:rsid w:val="3FC91E6E"/>
    <w:rsid w:val="46F250FF"/>
    <w:rsid w:val="47280774"/>
    <w:rsid w:val="4B4F286F"/>
    <w:rsid w:val="51F8662B"/>
    <w:rsid w:val="523F51F1"/>
    <w:rsid w:val="53124658"/>
    <w:rsid w:val="58304F89"/>
    <w:rsid w:val="5F6F775E"/>
    <w:rsid w:val="66637170"/>
    <w:rsid w:val="68BE078C"/>
    <w:rsid w:val="6DC20A4A"/>
    <w:rsid w:val="70F74EAF"/>
    <w:rsid w:val="72974DF8"/>
    <w:rsid w:val="769B3CFA"/>
    <w:rsid w:val="7CA620D2"/>
    <w:rsid w:val="7DA50417"/>
    <w:rsid w:val="7E96B924"/>
    <w:rsid w:val="DFFFEADB"/>
    <w:rsid w:val="FBFD8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4"/>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unhideWhenUsed/>
    <w:qFormat/>
    <w:uiPriority w:val="39"/>
    <w:pPr>
      <w:ind w:left="420" w:leftChars="200"/>
    </w:p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3"/>
    <w:qFormat/>
    <w:uiPriority w:val="0"/>
    <w:pPr>
      <w:spacing w:line="500" w:lineRule="exact"/>
      <w:ind w:firstLine="420"/>
    </w:pPr>
    <w:rPr>
      <w:rFonts w:eastAsia="宋体"/>
      <w:sz w:val="32"/>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6"/>
    <w:qFormat/>
    <w:uiPriority w:val="0"/>
    <w:rPr>
      <w:rFonts w:ascii="Times New Roman" w:hAnsi="Times New Roman" w:eastAsia="宋体" w:cs="Times New Roman"/>
      <w:kern w:val="2"/>
      <w:sz w:val="18"/>
      <w:szCs w:val="18"/>
    </w:rPr>
  </w:style>
  <w:style w:type="character" w:customStyle="1" w:styleId="14">
    <w:name w:val="页脚 字符"/>
    <w:basedOn w:val="12"/>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Words>
  <Characters>607</Characters>
  <Lines>5</Lines>
  <Paragraphs>1</Paragraphs>
  <TotalTime>2</TotalTime>
  <ScaleCrop>false</ScaleCrop>
  <LinksUpToDate>false</LinksUpToDate>
  <CharactersWithSpaces>712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2022-11-03T02:01:00Z</dcterms:created>
  <dc:creator>1</dc:creator>
  <cp:lastModifiedBy>user</cp:lastModifiedBy>
  <dcterms:modified xsi:type="dcterms:W3CDTF">2023-01-03T10:47:42Z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