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ascii="黑体" w:hAnsi="黑体" w:eastAsia="黑体" w:cs="黑体"/>
          <w:bCs/>
          <w:sz w:val="32"/>
          <w:szCs w:val="32"/>
        </w:rPr>
      </w:pPr>
      <w:r>
        <w:rPr>
          <w:rFonts w:hint="eastAsia" w:ascii="黑体" w:hAnsi="黑体" w:eastAsia="黑体" w:cs="黑体"/>
          <w:bCs/>
          <w:sz w:val="32"/>
          <w:szCs w:val="32"/>
        </w:rPr>
        <w:t>附件6</w:t>
      </w:r>
      <w:r>
        <w:rPr>
          <w:rFonts w:ascii="黑体" w:hAnsi="黑体" w:eastAsia="黑体" w:cs="黑体"/>
          <w:bCs/>
          <w:sz w:val="32"/>
          <w:szCs w:val="32"/>
        </w:rPr>
        <w:t>-2</w:t>
      </w:r>
    </w:p>
    <w:p>
      <w:pPr>
        <w:pStyle w:val="3"/>
        <w:spacing w:line="580" w:lineRule="exact"/>
        <w:jc w:val="center"/>
        <w:rPr>
          <w:rFonts w:eastAsia="方正小标宋简体"/>
          <w:bCs/>
          <w:sz w:val="44"/>
          <w:szCs w:val="44"/>
        </w:rPr>
      </w:pPr>
      <w:r>
        <w:rPr>
          <w:rFonts w:hint="eastAsia" w:eastAsia="方正小标宋简体"/>
          <w:bCs/>
          <w:sz w:val="44"/>
          <w:szCs w:val="44"/>
        </w:rPr>
        <w:t>2022年度浙江省知识产权奖</w:t>
      </w:r>
    </w:p>
    <w:p>
      <w:pPr>
        <w:pStyle w:val="3"/>
        <w:spacing w:line="580" w:lineRule="exact"/>
        <w:jc w:val="center"/>
        <w:rPr>
          <w:rFonts w:eastAsia="方正小标宋简体"/>
          <w:bCs/>
          <w:sz w:val="44"/>
          <w:szCs w:val="44"/>
        </w:rPr>
      </w:pPr>
      <w:r>
        <w:rPr>
          <w:rFonts w:hint="eastAsia" w:eastAsia="方正小标宋简体"/>
          <w:bCs/>
          <w:sz w:val="44"/>
          <w:szCs w:val="44"/>
        </w:rPr>
        <w:t>提名公示表</w:t>
      </w:r>
    </w:p>
    <w:p>
      <w:pPr>
        <w:pStyle w:val="3"/>
        <w:spacing w:line="580" w:lineRule="exact"/>
        <w:jc w:val="center"/>
      </w:pPr>
      <w:r>
        <w:rPr>
          <w:rFonts w:hint="eastAsia" w:ascii="楷体_GB2312" w:hAnsi="楷体_GB2312" w:cs="楷体_GB2312"/>
          <w:color w:val="000000"/>
          <w:sz w:val="32"/>
          <w:szCs w:val="32"/>
        </w:rPr>
        <w:t>（供门类奖提名公示用）</w:t>
      </w:r>
    </w:p>
    <w:tbl>
      <w:tblPr>
        <w:tblStyle w:val="8"/>
        <w:tblW w:w="8935" w:type="dxa"/>
        <w:jc w:val="center"/>
        <w:tblLayout w:type="fixed"/>
        <w:tblCellMar>
          <w:top w:w="0" w:type="dxa"/>
          <w:left w:w="108" w:type="dxa"/>
          <w:bottom w:w="0" w:type="dxa"/>
          <w:right w:w="108" w:type="dxa"/>
        </w:tblCellMar>
      </w:tblPr>
      <w:tblGrid>
        <w:gridCol w:w="2307"/>
        <w:gridCol w:w="2209"/>
        <w:gridCol w:w="2209"/>
        <w:gridCol w:w="2210"/>
      </w:tblGrid>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_GB2312" w:asciiTheme="minorEastAsia" w:hAnsiTheme="minorEastAsia" w:eastAsiaTheme="minorEastAsia"/>
                <w:color w:val="000000" w:themeColor="text1"/>
                <w:sz w:val="24"/>
              </w:rPr>
            </w:pPr>
            <w:r>
              <w:rPr>
                <w:rFonts w:hint="eastAsia" w:cs="仿宋_GB2312" w:asciiTheme="minorEastAsia" w:hAnsiTheme="minorEastAsia" w:eastAsiaTheme="minorEastAsia"/>
                <w:color w:val="000000" w:themeColor="text1"/>
                <w:sz w:val="24"/>
              </w:rPr>
              <w:t>台州市</w:t>
            </w:r>
            <w:r>
              <w:rPr>
                <w:rFonts w:cs="仿宋_GB2312" w:asciiTheme="minorEastAsia" w:hAnsiTheme="minorEastAsia" w:eastAsiaTheme="minorEastAsia"/>
                <w:color w:val="000000" w:themeColor="text1"/>
                <w:sz w:val="24"/>
              </w:rPr>
              <w:t>人民政府</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eastAsiaTheme="minorEastAsia"/>
                <w:sz w:val="24"/>
              </w:rPr>
              <w:t>浙江双友物流器械股份有限公司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keepNext w:val="0"/>
              <w:keepLines w:val="0"/>
              <w:widowControl/>
              <w:suppressLineNumbers w:val="0"/>
              <w:spacing w:before="0" w:beforeAutospacing="0" w:after="0" w:afterAutospacing="0"/>
              <w:ind w:left="0" w:right="0" w:firstLine="0"/>
              <w:rPr>
                <w:rFonts w:ascii="仿宋_GB2312" w:hAnsi="仿宋_GB2312" w:eastAsia="仿宋_GB2312" w:cs="仿宋_GB2312"/>
                <w:color w:val="FF0000"/>
                <w:sz w:val="24"/>
              </w:rPr>
            </w:pPr>
            <w:r>
              <w:rPr>
                <w:sz w:val="24"/>
              </w:rPr>
              <w:t>913310</w:t>
            </w:r>
            <w:r>
              <w:t>******</w:t>
            </w:r>
            <w:bookmarkStart w:id="0" w:name="_GoBack"/>
            <w:bookmarkEnd w:id="0"/>
            <w:r>
              <w:rPr>
                <w:sz w:val="24"/>
              </w:rPr>
              <w:t>0886XX</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专利奖（发明专利）</w:t>
            </w:r>
          </w:p>
        </w:tc>
      </w:tr>
      <w:tr>
        <w:tblPrEx>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4"/>
              </w:rPr>
              <w:t>一等奖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kern w:val="0"/>
                <w:sz w:val="28"/>
                <w:szCs w:val="28"/>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8"/>
                <w:szCs w:val="28"/>
              </w:rPr>
            </w:pPr>
            <w:r>
              <w:rPr>
                <w:rFonts w:hint="eastAsia" w:ascii="仿宋_GB2312" w:hAnsi="仿宋_GB2312" w:eastAsia="仿宋_GB2312" w:cs="仿宋_GB2312"/>
                <w:color w:val="000000" w:themeColor="text1"/>
                <w:sz w:val="24"/>
              </w:rPr>
              <w:t>是</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color w:val="FF0000"/>
                <w:sz w:val="24"/>
                <w:lang w:val="en"/>
              </w:rPr>
            </w:pPr>
            <w:r>
              <w:rPr>
                <w:sz w:val="24"/>
              </w:rPr>
              <w:t>一种链条式拉紧器</w:t>
            </w:r>
            <w:r>
              <w:rPr>
                <w:rFonts w:hint="default"/>
                <w:sz w:val="24"/>
                <w:lang w:val="en"/>
              </w:rPr>
              <w:t>(</w:t>
            </w:r>
            <w:r>
              <w:rPr>
                <w:rFonts w:hint="eastAsia" w:asciiTheme="minorEastAsia" w:hAnsiTheme="minorEastAsia" w:eastAsiaTheme="minorEastAsia"/>
                <w:sz w:val="24"/>
              </w:rPr>
              <w:t>ZL201110112148.0</w:t>
            </w:r>
            <w:r>
              <w:rPr>
                <w:rFonts w:hint="default" w:asciiTheme="minorEastAsia" w:hAnsiTheme="minorEastAsia" w:eastAsiaTheme="minorEastAsia"/>
                <w:sz w:val="24"/>
                <w:lang w:val="en"/>
              </w:rPr>
              <w:t>)</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cs="仿宋_GB2312" w:asciiTheme="minorEastAsia" w:hAnsiTheme="minorEastAsia" w:eastAsiaTheme="minorEastAsia"/>
                <w:color w:val="000000" w:themeColor="text1"/>
                <w:sz w:val="24"/>
              </w:rPr>
            </w:pPr>
            <w:r>
              <w:rPr>
                <w:rFonts w:hint="eastAsia" w:asciiTheme="minorEastAsia" w:hAnsiTheme="minorEastAsia" w:eastAsiaTheme="minorEastAsia"/>
                <w:sz w:val="24"/>
              </w:rPr>
              <w:t>第1236089号</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r>
              <w:rPr>
                <w:rFonts w:eastAsiaTheme="minorEastAsia"/>
                <w:sz w:val="24"/>
              </w:rPr>
              <w:t>浙江双友物流器械股份有限公司</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无</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themeColor="text1"/>
                <w:kern w:val="0"/>
                <w:sz w:val="28"/>
                <w:szCs w:val="28"/>
              </w:rPr>
            </w:pPr>
            <w:r>
              <w:rPr>
                <w:rFonts w:hint="eastAsia" w:ascii="仿宋_GB2312" w:hAnsi="仿宋_GB2312" w:eastAsia="仿宋_GB2312" w:cs="仿宋_GB2312"/>
                <w:color w:val="000000" w:themeColor="text1"/>
                <w:kern w:val="0"/>
                <w:sz w:val="28"/>
                <w:szCs w:val="28"/>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肖招银</w:t>
            </w: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r>
        <w:tblPrEx>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color w:val="000000"/>
                <w:kern w:val="0"/>
                <w:sz w:val="28"/>
                <w:szCs w:val="28"/>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仿宋_GB2312" w:eastAsia="仿宋_GB2312" w:cs="仿宋_GB2312"/>
                <w:color w:val="FF0000"/>
                <w:sz w:val="24"/>
              </w:rPr>
            </w:pPr>
          </w:p>
        </w:tc>
      </w:tr>
    </w:tbl>
    <w:p>
      <w:r>
        <w:br w:type="page"/>
      </w:r>
    </w:p>
    <w:p>
      <w:pPr>
        <w:pStyle w:val="2"/>
      </w:pPr>
    </w:p>
    <w:tbl>
      <w:tblPr>
        <w:tblStyle w:val="9"/>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pPr>
            <w:r>
              <w:rPr>
                <w:rFonts w:hint="eastAsia" w:ascii="仿宋_GB2312" w:hAnsi="仿宋_GB2312" w:eastAsia="仿宋_GB2312" w:cs="仿宋_GB2312"/>
                <w:color w:val="000000"/>
                <w:sz w:val="28"/>
                <w:szCs w:val="28"/>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rPr>
                <w:rFonts w:hint="eastAsia" w:ascii="仿宋_GB2312" w:hAnsi="仿宋_GB2312" w:eastAsia="仿宋_GB2312" w:cs="仿宋_GB2312"/>
                <w:color w:val="FF0000"/>
                <w:sz w:val="28"/>
                <w:szCs w:val="28"/>
              </w:rPr>
            </w:pPr>
          </w:p>
          <w:p>
            <w:pPr>
              <w:widowControl/>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被提名的发明专利</w:t>
            </w:r>
            <w:r>
              <w:rPr>
                <w:rFonts w:hint="eastAsia" w:asciiTheme="minorEastAsia" w:hAnsiTheme="minorEastAsia" w:eastAsiaTheme="minorEastAsia"/>
                <w:sz w:val="24"/>
              </w:rPr>
              <w:t>“ZL201110112148.0</w:t>
            </w:r>
            <w:r>
              <w:rPr>
                <w:sz w:val="24"/>
              </w:rPr>
              <w:t>一种链条式拉紧器</w:t>
            </w:r>
            <w:r>
              <w:rPr>
                <w:rFonts w:hint="eastAsia" w:asciiTheme="minorEastAsia" w:hAnsiTheme="minorEastAsia" w:eastAsiaTheme="minorEastAsia"/>
                <w:sz w:val="24"/>
              </w:rPr>
              <w:t>”</w:t>
            </w:r>
            <w:r>
              <w:rPr>
                <w:rFonts w:hint="eastAsia"/>
                <w:sz w:val="24"/>
              </w:rPr>
              <w:t>，申请日2011年5月3日授权日为</w:t>
            </w:r>
            <w:r>
              <w:rPr>
                <w:rFonts w:asciiTheme="minorEastAsia" w:hAnsiTheme="minorEastAsia" w:eastAsiaTheme="minorEastAsia"/>
                <w:sz w:val="24"/>
              </w:rPr>
              <w:t>2013年</w:t>
            </w:r>
            <w:r>
              <w:rPr>
                <w:rFonts w:hint="eastAsia" w:asciiTheme="minorEastAsia" w:hAnsiTheme="minorEastAsia" w:eastAsiaTheme="minorEastAsia"/>
                <w:sz w:val="24"/>
              </w:rPr>
              <w:t>7月17日，共计14条权利要求，内容表达清楚、简要，</w:t>
            </w:r>
            <w:r>
              <w:rPr>
                <w:rFonts w:hint="eastAsia" w:asciiTheme="minorEastAsia" w:hAnsiTheme="minorEastAsia" w:eastAsiaTheme="minorEastAsia"/>
                <w:color w:val="000000" w:themeColor="text1"/>
                <w:sz w:val="24"/>
              </w:rPr>
              <w:t>专利说明书中完整的包含了专利摘要、技术领域、背景技术、发明内容、附图说明、具体实施方式和说明书附图。</w:t>
            </w:r>
            <w:r>
              <w:rPr>
                <w:rFonts w:hint="eastAsia" w:asciiTheme="minorEastAsia" w:hAnsiTheme="minorEastAsia" w:eastAsiaTheme="minorEastAsia"/>
                <w:sz w:val="24"/>
              </w:rPr>
              <w:t>并于申请同年5月份开始投入运用实现销售，至今为公司累计新增销售额8331.73 万元，新增利润2783.13万元，其中新增出口额人民币8248.41万元，</w:t>
            </w:r>
            <w:r>
              <w:rPr>
                <w:rFonts w:hint="eastAsia" w:asciiTheme="minorEastAsia" w:hAnsiTheme="minorEastAsia" w:eastAsiaTheme="minorEastAsia" w:cstheme="minorEastAsia"/>
                <w:sz w:val="24"/>
              </w:rPr>
              <w:t>该项目产品占全球拉紧器货物固定产品的市场份额在8%左右，在国内60%和省内都是80%左右，</w:t>
            </w:r>
            <w:r>
              <w:rPr>
                <w:rFonts w:hint="eastAsia" w:asciiTheme="minorEastAsia" w:hAnsiTheme="minorEastAsia" w:eastAsiaTheme="minorEastAsia"/>
                <w:sz w:val="24"/>
              </w:rPr>
              <w:t>经济效益显著；同时产生的社会效益也是非常明显的，该发明技术解决了当今行业重载捆绑器上的结构繁琐工艺繁琐效率低的通病，引领整个物流运输捆绑行业技术变革，进一步缩短我国与发达国家在该领域的技术差距。</w:t>
            </w:r>
          </w:p>
          <w:p>
            <w:pPr>
              <w:widowControl/>
              <w:spacing w:line="360" w:lineRule="auto"/>
              <w:ind w:firstLine="480" w:firstLineChars="200"/>
              <w:rPr>
                <w:rFonts w:ascii="仿宋" w:hAnsi="仿宋" w:eastAsia="仿宋" w:cs="宋体"/>
                <w:sz w:val="28"/>
                <w:szCs w:val="28"/>
              </w:rPr>
            </w:pPr>
            <w:r>
              <w:rPr>
                <w:rFonts w:hint="eastAsia" w:cs="宋体" w:asciiTheme="minorEastAsia" w:hAnsiTheme="minorEastAsia" w:eastAsiaTheme="minorEastAsia"/>
                <w:sz w:val="24"/>
              </w:rPr>
              <w:t>专利产品名为链条拉紧器（又名重载捆绑器），重型货物运输中需要防止货物移动，捆扎链条的拉紧工作需要借用辅助工具才能完成，我们的重载捆绑器作为绞紧工具，将捆绑链条拉紧，以此达到捆扎链条能够紧紧锁定货物的目的，保障货物运输安全。</w:t>
            </w:r>
            <w:r>
              <w:rPr>
                <w:rFonts w:hint="eastAsia" w:asciiTheme="minorEastAsia" w:hAnsiTheme="minorEastAsia" w:eastAsiaTheme="minorEastAsia"/>
                <w:sz w:val="24"/>
              </w:rPr>
              <w:t>与同类技术相比效率提高了近2.6倍，不仅可用</w:t>
            </w:r>
            <w:r>
              <w:rPr>
                <w:rFonts w:hint="eastAsia" w:asciiTheme="minorEastAsia" w:hAnsiTheme="minorEastAsia" w:eastAsiaTheme="minorEastAsia"/>
                <w:color w:val="000000" w:themeColor="text1"/>
                <w:sz w:val="24"/>
              </w:rPr>
              <w:t>在储罐车运输、钢卷装车等原始运输行业，该技术还可以运用在军工、建筑材料、矿用机械等大型新型重载货物的固定捆绑作业中。</w:t>
            </w:r>
            <w:r>
              <w:rPr>
                <w:rFonts w:ascii="仿宋" w:hAnsi="仿宋" w:eastAsia="仿宋" w:cs="宋体"/>
                <w:sz w:val="28"/>
                <w:szCs w:val="28"/>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Droid Sans Fallback"/>
    <w:panose1 w:val="02010609060101010101"/>
    <w:charset w:val="86"/>
    <w:family w:val="modern"/>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733B"/>
    <w:rsid w:val="001219BB"/>
    <w:rsid w:val="001B3E32"/>
    <w:rsid w:val="001E56A8"/>
    <w:rsid w:val="002123EA"/>
    <w:rsid w:val="003E6CF5"/>
    <w:rsid w:val="003F733B"/>
    <w:rsid w:val="00545112"/>
    <w:rsid w:val="0076571A"/>
    <w:rsid w:val="00D23126"/>
    <w:rsid w:val="5BFD6D68"/>
    <w:rsid w:val="67FF15C1"/>
    <w:rsid w:val="6E9E4538"/>
    <w:rsid w:val="7AFF502E"/>
    <w:rsid w:val="BFA7B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420"/>
    </w:pPr>
    <w:rPr>
      <w:rFonts w:eastAsia="宋体"/>
      <w:sz w:val="32"/>
      <w:szCs w:val="20"/>
    </w:rPr>
  </w:style>
  <w:style w:type="paragraph" w:styleId="3">
    <w:name w:val="Body Text"/>
    <w:basedOn w:val="1"/>
    <w:next w:val="4"/>
    <w:qFormat/>
    <w:uiPriority w:val="0"/>
    <w:rPr>
      <w:rFonts w:eastAsia="楷体_GB2312"/>
    </w:rPr>
  </w:style>
  <w:style w:type="paragraph" w:styleId="4">
    <w:name w:val="Title"/>
    <w:basedOn w:val="1"/>
    <w:next w:val="1"/>
    <w:qFormat/>
    <w:uiPriority w:val="0"/>
    <w:pPr>
      <w:spacing w:line="560" w:lineRule="exact"/>
      <w:ind w:firstLine="720" w:firstLineChars="200"/>
      <w:jc w:val="center"/>
      <w:outlineLvl w:val="0"/>
    </w:pPr>
    <w:rPr>
      <w:rFonts w:ascii="方正小标宋_GBK" w:hAnsi="方正小标宋_GBK" w:eastAsia="方正小标宋_GBK" w:cs="方正小标宋_GBK"/>
      <w:sz w:val="44"/>
      <w:szCs w:val="44"/>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semiHidden/>
    <w:qFormat/>
    <w:uiPriority w:val="99"/>
    <w:rPr>
      <w:rFonts w:ascii="Times New Roman" w:hAnsi="Times New Roman" w:cs="Times New Roman"/>
      <w:kern w:val="2"/>
      <w:sz w:val="18"/>
      <w:szCs w:val="18"/>
    </w:rPr>
  </w:style>
  <w:style w:type="character" w:customStyle="1" w:styleId="12">
    <w:name w:val="页脚 Char"/>
    <w:basedOn w:val="10"/>
    <w:link w:val="5"/>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120</Words>
  <Characters>685</Characters>
  <Lines>5</Lines>
  <Paragraphs>1</Paragraphs>
  <TotalTime>0</TotalTime>
  <ScaleCrop>false</ScaleCrop>
  <LinksUpToDate>false</LinksUpToDate>
  <CharactersWithSpaces>804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2022-12-22T02:24:00Z</dcterms:created>
  <dc:creator>1</dc:creator>
  <cp:lastModifiedBy>user</cp:lastModifiedBy>
  <dcterms:modified xsi:type="dcterms:W3CDTF">2023-01-03T10:44:50Z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cc55d010dc3b49cbb62f9f1d203f31f3</vt:lpwstr>
  </property>
</Properties>
</file>